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3D18" w:rsidRPr="001F1584" w:rsidRDefault="00A00202" w:rsidP="00062B9C">
      <w:pPr>
        <w:jc w:val="center"/>
        <w:rPr>
          <w:b/>
          <w:i/>
          <w:sz w:val="28"/>
          <w:lang w:val="az-Latn-AZ"/>
        </w:rPr>
      </w:pPr>
      <w:r>
        <w:rPr>
          <w:b/>
          <w:i/>
          <w:noProof/>
          <w:sz w:val="28"/>
          <w:lang w:eastAsia="tr-TR"/>
        </w:rPr>
        <w:drawing>
          <wp:inline distT="0" distB="0" distL="0" distR="0">
            <wp:extent cx="1289958" cy="1289958"/>
            <wp:effectExtent l="0" t="0" r="5715" b="5715"/>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89917" cy="1289917"/>
                    </a:xfrm>
                    <a:prstGeom prst="rect">
                      <a:avLst/>
                    </a:prstGeom>
                    <a:noFill/>
                    <a:ln>
                      <a:noFill/>
                    </a:ln>
                  </pic:spPr>
                </pic:pic>
              </a:graphicData>
            </a:graphic>
          </wp:inline>
        </w:drawing>
      </w:r>
      <w:r w:rsidR="00062B9C" w:rsidRPr="001F1584">
        <w:rPr>
          <w:b/>
          <w:i/>
          <w:sz w:val="28"/>
          <w:lang w:val="az-Latn-AZ"/>
        </w:rPr>
        <w:t>Poliostotik fibroz displazili hastalarda pomidronat</w:t>
      </w:r>
      <w:r w:rsidR="00F530A9" w:rsidRPr="001F1584">
        <w:rPr>
          <w:b/>
          <w:i/>
          <w:sz w:val="28"/>
          <w:lang w:val="az-Latn-AZ"/>
        </w:rPr>
        <w:t>e</w:t>
      </w:r>
      <w:r w:rsidR="00062B9C" w:rsidRPr="001F1584">
        <w:rPr>
          <w:b/>
          <w:i/>
          <w:sz w:val="28"/>
          <w:lang w:val="az-Latn-AZ"/>
        </w:rPr>
        <w:t xml:space="preserve"> ve zoledronat</w:t>
      </w:r>
      <w:r w:rsidR="00F530A9" w:rsidRPr="001F1584">
        <w:rPr>
          <w:b/>
          <w:i/>
          <w:sz w:val="28"/>
          <w:lang w:val="az-Latn-AZ"/>
        </w:rPr>
        <w:t>e</w:t>
      </w:r>
      <w:r w:rsidR="00062B9C" w:rsidRPr="001F1584">
        <w:rPr>
          <w:b/>
          <w:i/>
          <w:sz w:val="28"/>
          <w:lang w:val="az-Latn-AZ"/>
        </w:rPr>
        <w:t xml:space="preserve"> tedavisinin karşılaştırılması</w:t>
      </w:r>
    </w:p>
    <w:p w:rsidR="00A00202" w:rsidRDefault="00A00202" w:rsidP="00A00202">
      <w:pPr>
        <w:spacing w:line="240" w:lineRule="auto"/>
        <w:rPr>
          <w:rFonts w:ascii="Times New Roman" w:hAnsi="Times New Roman" w:cs="Times New Roman"/>
          <w:noProof/>
          <w:sz w:val="24"/>
          <w:szCs w:val="24"/>
          <w:lang w:val="en-US" w:eastAsia="ru-RU"/>
        </w:rPr>
      </w:pPr>
      <w:r>
        <w:rPr>
          <w:rFonts w:ascii="Times New Roman" w:hAnsi="Times New Roman" w:cs="Times New Roman"/>
          <w:noProof/>
          <w:sz w:val="24"/>
          <w:szCs w:val="24"/>
          <w:lang w:val="az-Latn-AZ" w:eastAsia="ru-RU"/>
        </w:rPr>
        <w:t xml:space="preserve">Azad Akbarzade </w:t>
      </w:r>
      <w:r>
        <w:rPr>
          <w:rFonts w:ascii="Times New Roman" w:hAnsi="Times New Roman" w:cs="Times New Roman"/>
          <w:noProof/>
          <w:sz w:val="12"/>
          <w:szCs w:val="12"/>
          <w:lang w:val="az-Latn-AZ" w:eastAsia="ru-RU"/>
        </w:rPr>
        <w:t xml:space="preserve">(1),  </w:t>
      </w:r>
      <w:r>
        <w:rPr>
          <w:rFonts w:ascii="Times New Roman" w:hAnsi="Times New Roman" w:cs="Times New Roman"/>
          <w:noProof/>
          <w:sz w:val="24"/>
          <w:szCs w:val="24"/>
          <w:lang w:val="az-Latn-AZ" w:eastAsia="ru-RU"/>
        </w:rPr>
        <w:t xml:space="preserve">Aysel </w:t>
      </w:r>
      <w:r>
        <w:rPr>
          <w:rFonts w:ascii="Times New Roman" w:hAnsi="Times New Roman" w:cs="Times New Roman"/>
          <w:noProof/>
          <w:sz w:val="24"/>
          <w:szCs w:val="24"/>
          <w:lang w:val="az-Latn-AZ" w:eastAsia="ru-RU"/>
        </w:rPr>
        <w:t xml:space="preserve">Süleymanlı </w:t>
      </w:r>
      <w:r>
        <w:rPr>
          <w:rFonts w:ascii="Times New Roman" w:hAnsi="Times New Roman" w:cs="Times New Roman"/>
          <w:noProof/>
          <w:sz w:val="12"/>
          <w:szCs w:val="12"/>
          <w:lang w:val="az-Latn-AZ" w:eastAsia="ru-RU"/>
        </w:rPr>
        <w:t>(2)</w:t>
      </w:r>
      <w:r>
        <w:rPr>
          <w:rFonts w:ascii="Times New Roman" w:hAnsi="Times New Roman" w:cs="Times New Roman"/>
          <w:noProof/>
          <w:sz w:val="12"/>
          <w:szCs w:val="12"/>
          <w:lang w:val="az-Latn-AZ" w:eastAsia="ru-RU"/>
        </w:rPr>
        <w:t xml:space="preserve">, </w:t>
      </w:r>
      <w:bookmarkStart w:id="0" w:name="_GoBack"/>
      <w:bookmarkEnd w:id="0"/>
      <w:r>
        <w:rPr>
          <w:rFonts w:ascii="Times New Roman" w:hAnsi="Times New Roman" w:cs="Times New Roman"/>
          <w:noProof/>
          <w:sz w:val="24"/>
          <w:szCs w:val="24"/>
          <w:lang w:val="az-Latn-AZ" w:eastAsia="ru-RU"/>
        </w:rPr>
        <w:t xml:space="preserve">Leman Sultanova </w:t>
      </w:r>
      <w:r>
        <w:rPr>
          <w:rFonts w:ascii="Times New Roman" w:hAnsi="Times New Roman" w:cs="Times New Roman"/>
          <w:noProof/>
          <w:sz w:val="12"/>
          <w:szCs w:val="12"/>
          <w:lang w:val="az-Latn-AZ" w:eastAsia="ru-RU"/>
        </w:rPr>
        <w:t>(2)</w:t>
      </w:r>
      <w:r>
        <w:rPr>
          <w:rFonts w:ascii="Times New Roman" w:hAnsi="Times New Roman" w:cs="Times New Roman"/>
          <w:noProof/>
          <w:sz w:val="24"/>
          <w:szCs w:val="24"/>
          <w:lang w:val="az-Latn-AZ" w:eastAsia="ru-RU"/>
        </w:rPr>
        <w:t xml:space="preserve">, </w:t>
      </w:r>
      <w:r>
        <w:rPr>
          <w:rFonts w:ascii="Times New Roman" w:hAnsi="Times New Roman" w:cs="Times New Roman"/>
          <w:noProof/>
          <w:sz w:val="24"/>
          <w:szCs w:val="24"/>
          <w:lang w:val="en-US" w:eastAsia="ru-RU"/>
        </w:rPr>
        <w:t xml:space="preserve">Nabat Aghayeva </w:t>
      </w:r>
      <w:r>
        <w:rPr>
          <w:rFonts w:ascii="Times New Roman" w:hAnsi="Times New Roman" w:cs="Times New Roman"/>
          <w:noProof/>
          <w:sz w:val="12"/>
          <w:szCs w:val="12"/>
          <w:lang w:val="en-US" w:eastAsia="ru-RU"/>
        </w:rPr>
        <w:t>(3)</w:t>
      </w:r>
      <w:r>
        <w:rPr>
          <w:rFonts w:ascii="Times New Roman" w:hAnsi="Times New Roman" w:cs="Times New Roman"/>
          <w:noProof/>
          <w:sz w:val="24"/>
          <w:szCs w:val="24"/>
          <w:lang w:val="az-Latn-AZ" w:eastAsia="ru-RU"/>
        </w:rPr>
        <w:t xml:space="preserve">, Gunay Cebrayilova </w:t>
      </w:r>
      <w:r>
        <w:rPr>
          <w:rFonts w:ascii="Times New Roman" w:hAnsi="Times New Roman" w:cs="Times New Roman"/>
          <w:noProof/>
          <w:sz w:val="12"/>
          <w:szCs w:val="12"/>
          <w:lang w:val="az-Latn-AZ" w:eastAsia="ru-RU"/>
        </w:rPr>
        <w:t>(2)</w:t>
      </w:r>
      <w:r>
        <w:rPr>
          <w:rFonts w:ascii="Times New Roman" w:hAnsi="Times New Roman" w:cs="Times New Roman"/>
          <w:noProof/>
          <w:sz w:val="24"/>
          <w:szCs w:val="24"/>
          <w:lang w:val="az-Latn-AZ" w:eastAsia="ru-RU"/>
        </w:rPr>
        <w:t xml:space="preserve">, </w:t>
      </w:r>
      <w:r>
        <w:rPr>
          <w:rFonts w:ascii="Times New Roman" w:hAnsi="Times New Roman" w:cs="Times New Roman"/>
          <w:noProof/>
          <w:sz w:val="12"/>
          <w:szCs w:val="12"/>
          <w:lang w:val="az-Latn-AZ" w:eastAsia="ru-RU"/>
        </w:rPr>
        <w:t>,</w:t>
      </w:r>
      <w:r>
        <w:rPr>
          <w:rFonts w:ascii="Times New Roman" w:hAnsi="Times New Roman" w:cs="Times New Roman"/>
          <w:noProof/>
          <w:sz w:val="24"/>
          <w:szCs w:val="24"/>
          <w:lang w:val="en-US" w:eastAsia="ru-RU"/>
        </w:rPr>
        <w:t xml:space="preserve">  </w:t>
      </w:r>
    </w:p>
    <w:p w:rsidR="00A00202" w:rsidRDefault="00A00202" w:rsidP="00A00202">
      <w:pPr>
        <w:pStyle w:val="ListeParagraf"/>
        <w:numPr>
          <w:ilvl w:val="0"/>
          <w:numId w:val="1"/>
        </w:numPr>
        <w:spacing w:line="240" w:lineRule="auto"/>
        <w:rPr>
          <w:rFonts w:ascii="Times New Roman" w:hAnsi="Times New Roman" w:cs="Times New Roman"/>
          <w:noProof/>
          <w:sz w:val="24"/>
          <w:szCs w:val="24"/>
          <w:lang w:val="en-US" w:eastAsia="ru-RU"/>
        </w:rPr>
      </w:pPr>
      <w:r>
        <w:rPr>
          <w:rFonts w:ascii="Times New Roman" w:hAnsi="Times New Roman" w:cs="Times New Roman"/>
          <w:noProof/>
          <w:sz w:val="24"/>
          <w:szCs w:val="24"/>
          <w:lang w:val="en-US" w:eastAsia="ru-RU"/>
        </w:rPr>
        <w:t>Azerbaycan Sağlık bakanlığı, HB Güven Kliniği</w:t>
      </w:r>
    </w:p>
    <w:p w:rsidR="00A00202" w:rsidRDefault="00A00202" w:rsidP="00A00202">
      <w:pPr>
        <w:pStyle w:val="ListeParagraf"/>
        <w:numPr>
          <w:ilvl w:val="0"/>
          <w:numId w:val="1"/>
        </w:numPr>
        <w:spacing w:line="240" w:lineRule="auto"/>
        <w:rPr>
          <w:rFonts w:ascii="Times New Roman" w:hAnsi="Times New Roman" w:cs="Times New Roman"/>
          <w:noProof/>
          <w:sz w:val="24"/>
          <w:szCs w:val="24"/>
          <w:lang w:val="en-US" w:eastAsia="ru-RU"/>
        </w:rPr>
      </w:pPr>
      <w:r>
        <w:rPr>
          <w:rFonts w:ascii="Times New Roman" w:hAnsi="Times New Roman" w:cs="Times New Roman"/>
          <w:noProof/>
          <w:sz w:val="24"/>
          <w:szCs w:val="24"/>
          <w:lang w:val="en-US" w:eastAsia="ru-RU"/>
        </w:rPr>
        <w:t>Azerbaycan Tıp Üniversitesi Eğitim ve Törapetik Hastanesi, Çocuk Hastalıkları Anabilim dalı</w:t>
      </w:r>
    </w:p>
    <w:p w:rsidR="00A00202" w:rsidRDefault="00A00202" w:rsidP="00A00202">
      <w:pPr>
        <w:pStyle w:val="ListeParagraf"/>
        <w:numPr>
          <w:ilvl w:val="0"/>
          <w:numId w:val="1"/>
        </w:numPr>
        <w:spacing w:line="240" w:lineRule="auto"/>
        <w:rPr>
          <w:rFonts w:ascii="Times New Roman" w:hAnsi="Times New Roman" w:cs="Times New Roman"/>
          <w:noProof/>
          <w:sz w:val="24"/>
          <w:szCs w:val="24"/>
          <w:lang w:val="en-US" w:eastAsia="ru-RU"/>
        </w:rPr>
      </w:pPr>
      <w:r>
        <w:rPr>
          <w:rFonts w:ascii="Times New Roman" w:hAnsi="Times New Roman" w:cs="Times New Roman"/>
          <w:noProof/>
          <w:sz w:val="24"/>
          <w:szCs w:val="24"/>
          <w:lang w:val="en-US" w:eastAsia="ru-RU"/>
        </w:rPr>
        <w:t xml:space="preserve">Azerbaycan Sağlık Bakanlığı, 6 No-lu Klinik </w:t>
      </w:r>
      <w:r>
        <w:rPr>
          <w:rFonts w:ascii="Times New Roman" w:hAnsi="Times New Roman" w:cs="Times New Roman"/>
          <w:noProof/>
          <w:sz w:val="24"/>
          <w:szCs w:val="24"/>
          <w:lang w:val="az-Latn-AZ" w:eastAsia="ru-RU"/>
        </w:rPr>
        <w:t>Çocuk Hastanesi</w:t>
      </w:r>
    </w:p>
    <w:p w:rsidR="00A61F57" w:rsidRDefault="00A61F57" w:rsidP="00A61F57">
      <w:pPr>
        <w:spacing w:after="120" w:line="240" w:lineRule="auto"/>
        <w:rPr>
          <w:lang w:val="az-Latn-AZ"/>
        </w:rPr>
      </w:pPr>
    </w:p>
    <w:p w:rsidR="00932D7B" w:rsidRDefault="00062B9C" w:rsidP="00062B9C">
      <w:pPr>
        <w:jc w:val="both"/>
      </w:pPr>
      <w:r>
        <w:rPr>
          <w:lang w:val="az-Latn-AZ"/>
        </w:rPr>
        <w:tab/>
      </w:r>
      <w:r w:rsidR="006E7108">
        <w:rPr>
          <w:lang w:val="az-Latn-AZ"/>
        </w:rPr>
        <w:t xml:space="preserve">GİRİŞ: </w:t>
      </w:r>
      <w:r>
        <w:t>Poliostotik fibröz displazi</w:t>
      </w:r>
      <w:r w:rsidR="00F940FF">
        <w:t xml:space="preserve"> (PFD)</w:t>
      </w:r>
      <w:r w:rsidR="00932D7B">
        <w:t xml:space="preserve"> </w:t>
      </w:r>
      <w:r>
        <w:t>etiyolojisi ve patogenezi tam</w:t>
      </w:r>
      <w:r w:rsidR="00812940">
        <w:t xml:space="preserve"> olarak aydınlanmamış, birden </w:t>
      </w:r>
      <w:r>
        <w:t xml:space="preserve">fazla sayıda kemiği tutan, normal kemik dokusunun yerini bağ dokusunun almasıyla karakterize bir hastalıktır. </w:t>
      </w:r>
      <w:r w:rsidR="00812940">
        <w:t>Olgunlaşmamış fibröz doku ve trabeküler kemik parçaları dağınık bir ağ şeklinde kemik dokusunun yerini alır. İnsidans 1/4000–1/10000 arasındadır ve</w:t>
      </w:r>
      <w:r w:rsidR="006E7108">
        <w:t xml:space="preserve"> hastaların</w:t>
      </w:r>
      <w:r w:rsidR="00812940">
        <w:t xml:space="preserve"> %60’</w:t>
      </w:r>
      <w:r w:rsidR="006E7108">
        <w:t xml:space="preserve">ı </w:t>
      </w:r>
      <w:r w:rsidR="00812940">
        <w:t>10 yaş öncesi</w:t>
      </w:r>
      <w:r w:rsidR="006E7108">
        <w:t xml:space="preserve"> tanı alır</w:t>
      </w:r>
      <w:r w:rsidR="00812940">
        <w:t xml:space="preserve">. </w:t>
      </w:r>
      <w:r w:rsidR="00A61F57">
        <w:t>Tedavide gözlem, ilaç tedavisi, cerrah</w:t>
      </w:r>
      <w:r w:rsidR="00E925F4">
        <w:t>i olarak yeniden yapılandırma,</w:t>
      </w:r>
      <w:r w:rsidR="00A61F57">
        <w:t xml:space="preserve"> tam rezeksiyon ve onarım uygulanmaktadır.</w:t>
      </w:r>
    </w:p>
    <w:p w:rsidR="00231C8A" w:rsidRDefault="00231C8A" w:rsidP="00062B9C">
      <w:pPr>
        <w:jc w:val="both"/>
      </w:pPr>
      <w:r>
        <w:tab/>
        <w:t>AMAÇ: Poliostotik fibroz displazili çocuk hastalarda Pamidronat</w:t>
      </w:r>
      <w:r w:rsidR="00A61F57">
        <w:t>e ve Zoledronate</w:t>
      </w:r>
      <w:r>
        <w:t xml:space="preserve"> tedavilerinin erken dönem etkilerinin karşılaştırılması. </w:t>
      </w:r>
    </w:p>
    <w:p w:rsidR="00231C8A" w:rsidRDefault="00812940" w:rsidP="00062B9C">
      <w:pPr>
        <w:jc w:val="both"/>
      </w:pPr>
      <w:r>
        <w:tab/>
      </w:r>
      <w:r w:rsidR="00231C8A">
        <w:t xml:space="preserve">GEREÇ ve YÖNTEM: </w:t>
      </w:r>
      <w:r w:rsidR="006E7108">
        <w:t xml:space="preserve">1 yıl boyunca 3 ay aralarla bifosfanat tedavisi almış </w:t>
      </w:r>
      <w:r w:rsidR="00231C8A">
        <w:t>PFD tanılı 5</w:t>
      </w:r>
      <w:r w:rsidR="006E7108">
        <w:t xml:space="preserve"> hastanın</w:t>
      </w:r>
      <w:r w:rsidR="00231C8A">
        <w:t xml:space="preserve"> </w:t>
      </w:r>
      <w:r w:rsidR="006E7108">
        <w:t>sonuçları retrospektif olarak tarandı. T</w:t>
      </w:r>
      <w:r w:rsidR="00231C8A">
        <w:t xml:space="preserve">edavi öncesi ve </w:t>
      </w:r>
      <w:r w:rsidR="006E7108">
        <w:t xml:space="preserve">sonrası klinik, radyolojik ve laboratuvar veriler karşılaştırıldı. </w:t>
      </w:r>
    </w:p>
    <w:p w:rsidR="004D077B" w:rsidRDefault="00231C8A" w:rsidP="00231C8A">
      <w:pPr>
        <w:ind w:firstLine="708"/>
        <w:jc w:val="both"/>
        <w:rPr>
          <w:lang w:val="az-Latn-AZ"/>
        </w:rPr>
      </w:pPr>
      <w:r>
        <w:t xml:space="preserve">BULGULAR: </w:t>
      </w:r>
      <w:r w:rsidR="00F940FF">
        <w:t>Çocuk Endokrin polikli</w:t>
      </w:r>
      <w:r w:rsidR="00932D7B">
        <w:t xml:space="preserve">niğimize son 2 yılda başvuran </w:t>
      </w:r>
      <w:r w:rsidR="00F940FF">
        <w:t xml:space="preserve">PFD tanılı </w:t>
      </w:r>
      <w:r w:rsidR="00932D7B">
        <w:t>4’</w:t>
      </w:r>
      <w:r w:rsidR="00932D7B">
        <w:rPr>
          <w:lang w:val="az-Latn-AZ"/>
        </w:rPr>
        <w:t>ü</w:t>
      </w:r>
      <w:r w:rsidR="00932D7B">
        <w:t xml:space="preserve"> kız, 1’i erkek olmakla, toplam 5 çocuk hasta</w:t>
      </w:r>
      <w:r w:rsidR="00F530A9">
        <w:t xml:space="preserve">nın verileri </w:t>
      </w:r>
      <w:r w:rsidR="00932D7B">
        <w:t xml:space="preserve">karşılaştırıldı. Hastaların başvuru yaşları en büyük 9 yaş 6/12, en küçük olanı 2 yaş 7/12 idi. </w:t>
      </w:r>
      <w:r>
        <w:t xml:space="preserve">Başvuru şikayetleri 2 hastada </w:t>
      </w:r>
      <w:r w:rsidR="004D077B">
        <w:t xml:space="preserve">ayak </w:t>
      </w:r>
      <w:r>
        <w:t>ağr</w:t>
      </w:r>
      <w:r>
        <w:rPr>
          <w:lang w:val="az-Latn-AZ"/>
        </w:rPr>
        <w:t>ı</w:t>
      </w:r>
      <w:r w:rsidR="004D077B">
        <w:rPr>
          <w:lang w:val="az-Latn-AZ"/>
        </w:rPr>
        <w:t>sı</w:t>
      </w:r>
      <w:r>
        <w:rPr>
          <w:lang w:val="az-Latn-AZ"/>
        </w:rPr>
        <w:t xml:space="preserve">, 2 hastada ağrı, şişlik ve yürüme bozukluğu, 1 hastada </w:t>
      </w:r>
      <w:r w:rsidR="004D077B">
        <w:rPr>
          <w:lang w:val="az-Latn-AZ"/>
        </w:rPr>
        <w:t xml:space="preserve">ise </w:t>
      </w:r>
      <w:r>
        <w:rPr>
          <w:lang w:val="az-Latn-AZ"/>
        </w:rPr>
        <w:t xml:space="preserve">kırık idi (9yaş 6/12). </w:t>
      </w:r>
      <w:r w:rsidR="004D077B">
        <w:rPr>
          <w:lang w:val="az-Latn-AZ"/>
        </w:rPr>
        <w:t xml:space="preserve">4 hastanın tanısı biyopsi ile doğrulandı. </w:t>
      </w:r>
      <w:r w:rsidR="00717960">
        <w:rPr>
          <w:lang w:val="az-Latn-AZ"/>
        </w:rPr>
        <w:t xml:space="preserve">Tüm biyokimyasal laboratuvar tetkiler normal sınırlardaydı. Hafif </w:t>
      </w:r>
      <w:r w:rsidR="004D077B">
        <w:rPr>
          <w:lang w:val="az-Latn-AZ"/>
        </w:rPr>
        <w:t>ALP yüksekliği 2 hastada mevcuttu (9 yaş 6/12  ve 7 yaş 3/12)</w:t>
      </w:r>
      <w:r w:rsidR="00717960">
        <w:rPr>
          <w:lang w:val="az-Latn-AZ"/>
        </w:rPr>
        <w:t>. Biri kız, diğeri erkek olmakla 2 hastada büyük (</w:t>
      </w:r>
      <w:r w:rsidR="00717960">
        <w:t>&gt;10 cm</w:t>
      </w:r>
      <w:r w:rsidR="00717960">
        <w:rPr>
          <w:lang w:val="az-Latn-AZ"/>
        </w:rPr>
        <w:t xml:space="preserve">),  orta hattı geçmeyen, dantelşekilli cafe aut lait lekeleri mevcuttu ama hastaların McCune Albright açısından ayırıcı tanısında her hangi endokrin patoloji saptanmadı. </w:t>
      </w:r>
      <w:r w:rsidR="00072061">
        <w:rPr>
          <w:lang w:val="az-Latn-AZ"/>
        </w:rPr>
        <w:t xml:space="preserve">1 yıl boyunca </w:t>
      </w:r>
      <w:r w:rsidR="00717960">
        <w:rPr>
          <w:lang w:val="az-Latn-AZ"/>
        </w:rPr>
        <w:t xml:space="preserve">2 hasta (2 yaş 7/12, kız ve 6 yaş 2/12,kız) </w:t>
      </w:r>
      <w:r w:rsidR="00072061">
        <w:rPr>
          <w:lang w:val="az-Latn-AZ"/>
        </w:rPr>
        <w:t>3 ay aralar</w:t>
      </w:r>
      <w:r w:rsidR="00717960">
        <w:rPr>
          <w:lang w:val="az-Latn-AZ"/>
        </w:rPr>
        <w:t>la pamidonat tedavisi, 3 hasta ise (5 yaş 8/12,erkek, 7 yaş 3/12 kız ve 9 yaş 6/12 kız) 3 ay aralarla</w:t>
      </w:r>
      <w:r w:rsidR="00072061">
        <w:rPr>
          <w:lang w:val="az-Latn-AZ"/>
        </w:rPr>
        <w:t xml:space="preserve"> zoledronik asit tedavisi aldılar. Pomidronat tedavisi alan hastaların her ikisinin ilk iki dozunda flu-like sendromu görüldü. Zolendronik asit alan gruptan sadece bir hastada ilk dozda hafif ateş oldu. Her iki grup ilk doz tedavi sonrası şikayetleri tam geriledi. Patoloji</w:t>
      </w:r>
      <w:r w:rsidR="00F530A9">
        <w:rPr>
          <w:lang w:val="az-Latn-AZ"/>
        </w:rPr>
        <w:t>k</w:t>
      </w:r>
      <w:r w:rsidR="00072061">
        <w:rPr>
          <w:lang w:val="az-Latn-AZ"/>
        </w:rPr>
        <w:t xml:space="preserve"> kırık görülmedi. </w:t>
      </w:r>
      <w:r w:rsidR="001065A9">
        <w:rPr>
          <w:lang w:val="az-Latn-AZ"/>
        </w:rPr>
        <w:t xml:space="preserve">Biokimyasal tetkiklerinde anormallik saptanmadı. </w:t>
      </w:r>
      <w:r w:rsidR="00072061">
        <w:rPr>
          <w:lang w:val="az-Latn-AZ"/>
        </w:rPr>
        <w:t xml:space="preserve">2 hastanın tedavi öncesi ve sonrası sintigrafi sonucunda lezyonlarda ilerleme görülmedi, 1 hastada (9 yaş 6/12) gerileme görüldü. </w:t>
      </w:r>
    </w:p>
    <w:p w:rsidR="00231C8A" w:rsidRPr="00231C8A" w:rsidRDefault="00231C8A" w:rsidP="00231C8A">
      <w:pPr>
        <w:ind w:firstLine="708"/>
        <w:jc w:val="both"/>
        <w:rPr>
          <w:lang w:val="az-Latn-AZ"/>
        </w:rPr>
      </w:pPr>
      <w:r>
        <w:rPr>
          <w:lang w:val="az-Latn-AZ"/>
        </w:rPr>
        <w:lastRenderedPageBreak/>
        <w:t xml:space="preserve">SONUÇ: </w:t>
      </w:r>
      <w:r w:rsidR="001065A9">
        <w:rPr>
          <w:lang w:val="az-Latn-AZ"/>
        </w:rPr>
        <w:t>PFD tanılı hastaların büyük çoğunluğu küçük yaşlarda tanı almakta</w:t>
      </w:r>
      <w:r w:rsidR="00F530A9">
        <w:rPr>
          <w:lang w:val="az-Latn-AZ"/>
        </w:rPr>
        <w:t>, ciddi ağırlaşmalarla seyretmektedir</w:t>
      </w:r>
      <w:r w:rsidR="001065A9">
        <w:rPr>
          <w:lang w:val="az-Latn-AZ"/>
        </w:rPr>
        <w:t xml:space="preserve">. Bifosfanat tedavisine çok iyi yanıt veren bu hastalarda ilaç seçimi ve verilme sıklığı ilaçların yan etkileri ve töropetik etkileri, hastaların hastane başvurusu ve yatış günü açısından çok önemlidir. Çalışmamızda Zoledronik asit ve Pamidronat tedavisi alan her iki grupta benzer </w:t>
      </w:r>
      <w:r w:rsidR="005274FA">
        <w:rPr>
          <w:lang w:val="az-Latn-AZ"/>
        </w:rPr>
        <w:t xml:space="preserve">sonuçlar elde edildi. Flu-like </w:t>
      </w:r>
      <w:r w:rsidR="00F530A9">
        <w:rPr>
          <w:lang w:val="az-Latn-AZ"/>
        </w:rPr>
        <w:t xml:space="preserve">sendromu </w:t>
      </w:r>
      <w:r w:rsidR="005274FA">
        <w:rPr>
          <w:lang w:val="az-Latn-AZ"/>
        </w:rPr>
        <w:t xml:space="preserve">Zoledronik asit alan grupta daha az görüldü. Yatış günleri de göz önünde bulundurulursa (zoledronik asit 1 gün, pomidronat 2 günlük yatış) PFD-li çocuk hastalarda daha az yan etki, pamidronatla benzer töropetik etki ve vücutta daha uzun süre etkisi nedeniyle zoledronik asit daha uygun </w:t>
      </w:r>
      <w:r w:rsidR="009C1812">
        <w:rPr>
          <w:lang w:val="az-Latn-AZ"/>
        </w:rPr>
        <w:t xml:space="preserve">seçim olabilir. </w:t>
      </w:r>
    </w:p>
    <w:sectPr w:rsidR="00231C8A" w:rsidRPr="00231C8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413702"/>
    <w:multiLevelType w:val="hybridMultilevel"/>
    <w:tmpl w:val="66DA3AD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741A"/>
    <w:rsid w:val="00062B9C"/>
    <w:rsid w:val="00072061"/>
    <w:rsid w:val="001065A9"/>
    <w:rsid w:val="001F1584"/>
    <w:rsid w:val="00231C8A"/>
    <w:rsid w:val="0041741A"/>
    <w:rsid w:val="004D077B"/>
    <w:rsid w:val="005274FA"/>
    <w:rsid w:val="00543D18"/>
    <w:rsid w:val="006E7108"/>
    <w:rsid w:val="00717960"/>
    <w:rsid w:val="00812940"/>
    <w:rsid w:val="008478B5"/>
    <w:rsid w:val="00932D7B"/>
    <w:rsid w:val="009C1812"/>
    <w:rsid w:val="00A00202"/>
    <w:rsid w:val="00A61F57"/>
    <w:rsid w:val="00E925F4"/>
    <w:rsid w:val="00F530A9"/>
    <w:rsid w:val="00F940F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A00202"/>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A00202"/>
    <w:rPr>
      <w:rFonts w:ascii="Tahoma" w:hAnsi="Tahoma" w:cs="Tahoma"/>
      <w:sz w:val="16"/>
      <w:szCs w:val="16"/>
    </w:rPr>
  </w:style>
  <w:style w:type="paragraph" w:styleId="ListeParagraf">
    <w:name w:val="List Paragraph"/>
    <w:basedOn w:val="Normal"/>
    <w:uiPriority w:val="34"/>
    <w:qFormat/>
    <w:rsid w:val="00A00202"/>
    <w:pPr>
      <w:ind w:left="720"/>
      <w:contextualSpacing/>
    </w:pPr>
    <w:rPr>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A00202"/>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A00202"/>
    <w:rPr>
      <w:rFonts w:ascii="Tahoma" w:hAnsi="Tahoma" w:cs="Tahoma"/>
      <w:sz w:val="16"/>
      <w:szCs w:val="16"/>
    </w:rPr>
  </w:style>
  <w:style w:type="paragraph" w:styleId="ListeParagraf">
    <w:name w:val="List Paragraph"/>
    <w:basedOn w:val="Normal"/>
    <w:uiPriority w:val="34"/>
    <w:qFormat/>
    <w:rsid w:val="00A00202"/>
    <w:pPr>
      <w:ind w:left="720"/>
      <w:contextualSpacing/>
    </w:pPr>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243</TotalTime>
  <Pages>2</Pages>
  <Words>507</Words>
  <Characters>2896</Characters>
  <Application>Microsoft Office Word</Application>
  <DocSecurity>0</DocSecurity>
  <Lines>24</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7</cp:revision>
  <dcterms:created xsi:type="dcterms:W3CDTF">2019-02-19T15:08:00Z</dcterms:created>
  <dcterms:modified xsi:type="dcterms:W3CDTF">2019-04-14T08:55:00Z</dcterms:modified>
</cp:coreProperties>
</file>