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5B1" w:rsidRPr="006135B1" w:rsidRDefault="00836A55" w:rsidP="006135B1">
      <w:pPr>
        <w:shd w:val="clear" w:color="auto" w:fill="FFFFFF"/>
        <w:spacing w:after="0" w:line="240" w:lineRule="auto"/>
        <w:rPr>
          <w:rFonts w:ascii="Verdana" w:eastAsia="Times New Roman" w:hAnsi="Verdana" w:cs="Times New Roman"/>
          <w:b/>
          <w:bCs/>
          <w:color w:val="000000"/>
          <w:sz w:val="21"/>
          <w:szCs w:val="21"/>
        </w:rPr>
      </w:pPr>
      <w:r>
        <w:rPr>
          <w:rFonts w:ascii="TimesNewRomanPS" w:hAnsi="TimesNewRomanPS"/>
          <w:b/>
          <w:noProof/>
          <w:sz w:val="28"/>
          <w:szCs w:val="28"/>
        </w:rPr>
        <w:drawing>
          <wp:inline distT="0" distB="0" distL="0" distR="0" wp14:anchorId="01D8DE9E" wp14:editId="77E0FAE2">
            <wp:extent cx="1318143" cy="97155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24574" cy="976290"/>
                    </a:xfrm>
                    <a:prstGeom prst="rect">
                      <a:avLst/>
                    </a:prstGeom>
                    <a:noFill/>
                    <a:ln>
                      <a:noFill/>
                    </a:ln>
                  </pic:spPr>
                </pic:pic>
              </a:graphicData>
            </a:graphic>
          </wp:inline>
        </w:drawing>
      </w:r>
      <w:r w:rsidR="006135B1" w:rsidRPr="006135B1">
        <w:rPr>
          <w:rFonts w:ascii="Verdana" w:eastAsia="Times New Roman" w:hAnsi="Verdana" w:cs="Times New Roman"/>
          <w:b/>
          <w:bCs/>
          <w:color w:val="000000"/>
          <w:sz w:val="21"/>
          <w:szCs w:val="21"/>
        </w:rPr>
        <w:t>McCune-Albright Sendromuna bağlı gelişen kombine puberte prekoksta LHRH analogu ve letrozol tedavisi</w:t>
      </w:r>
    </w:p>
    <w:p w:rsidR="006135B1" w:rsidRDefault="006135B1" w:rsidP="006135B1">
      <w:pPr>
        <w:rPr>
          <w:rFonts w:ascii="Times New Roman" w:eastAsia="Times New Roman" w:hAnsi="Times New Roman" w:cs="Times New Roman"/>
          <w:sz w:val="24"/>
          <w:szCs w:val="24"/>
        </w:rPr>
      </w:pPr>
      <w:r w:rsidRPr="006135B1">
        <w:rPr>
          <w:rFonts w:ascii="Verdana" w:eastAsia="Times New Roman" w:hAnsi="Verdana" w:cs="Times New Roman"/>
          <w:color w:val="000000"/>
          <w:sz w:val="18"/>
          <w:szCs w:val="18"/>
        </w:rPr>
        <w:br/>
      </w:r>
      <w:r w:rsidRPr="006135B1">
        <w:rPr>
          <w:rFonts w:ascii="Verdana" w:eastAsia="Times New Roman" w:hAnsi="Verdana" w:cs="Times New Roman"/>
          <w:color w:val="000000"/>
          <w:sz w:val="18"/>
          <w:szCs w:val="18"/>
          <w:u w:val="single"/>
          <w:shd w:val="clear" w:color="auto" w:fill="FFFFFF"/>
        </w:rPr>
        <w:t>Leman Sultanova</w:t>
      </w:r>
      <w:r w:rsidRPr="006135B1">
        <w:rPr>
          <w:rFonts w:ascii="Verdana" w:eastAsia="Times New Roman" w:hAnsi="Verdana" w:cs="Times New Roman"/>
          <w:color w:val="000000"/>
          <w:sz w:val="24"/>
          <w:szCs w:val="24"/>
          <w:shd w:val="clear" w:color="auto" w:fill="FFFFFF"/>
          <w:vertAlign w:val="superscript"/>
        </w:rPr>
        <w:t>1</w:t>
      </w:r>
      <w:r w:rsidRPr="006135B1">
        <w:rPr>
          <w:rFonts w:ascii="Verdana" w:eastAsia="Times New Roman" w:hAnsi="Verdana" w:cs="Times New Roman"/>
          <w:color w:val="000000"/>
          <w:sz w:val="18"/>
          <w:szCs w:val="18"/>
          <w:shd w:val="clear" w:color="auto" w:fill="FFFFFF"/>
        </w:rPr>
        <w:t>, Nabat Agayeva</w:t>
      </w:r>
      <w:r w:rsidRPr="006135B1">
        <w:rPr>
          <w:rFonts w:ascii="Verdana" w:eastAsia="Times New Roman" w:hAnsi="Verdana" w:cs="Times New Roman"/>
          <w:color w:val="000000"/>
          <w:sz w:val="24"/>
          <w:szCs w:val="24"/>
          <w:shd w:val="clear" w:color="auto" w:fill="FFFFFF"/>
          <w:vertAlign w:val="superscript"/>
        </w:rPr>
        <w:t>2</w:t>
      </w:r>
      <w:r w:rsidRPr="006135B1">
        <w:rPr>
          <w:rFonts w:ascii="Verdana" w:eastAsia="Times New Roman" w:hAnsi="Verdana" w:cs="Times New Roman"/>
          <w:color w:val="000000"/>
          <w:sz w:val="18"/>
          <w:szCs w:val="18"/>
          <w:shd w:val="clear" w:color="auto" w:fill="FFFFFF"/>
        </w:rPr>
        <w:t>, Azad Akberzade</w:t>
      </w:r>
      <w:r w:rsidRPr="006135B1">
        <w:rPr>
          <w:rFonts w:ascii="Verdana" w:eastAsia="Times New Roman" w:hAnsi="Verdana" w:cs="Times New Roman"/>
          <w:color w:val="000000"/>
          <w:sz w:val="24"/>
          <w:szCs w:val="24"/>
          <w:shd w:val="clear" w:color="auto" w:fill="FFFFFF"/>
          <w:vertAlign w:val="superscript"/>
        </w:rPr>
        <w:t>4</w:t>
      </w:r>
      <w:r w:rsidRPr="006135B1">
        <w:rPr>
          <w:rFonts w:ascii="Verdana" w:eastAsia="Times New Roman" w:hAnsi="Verdana" w:cs="Times New Roman"/>
          <w:color w:val="000000"/>
          <w:sz w:val="18"/>
          <w:szCs w:val="18"/>
          <w:shd w:val="clear" w:color="auto" w:fill="FFFFFF"/>
        </w:rPr>
        <w:t>, Gunay Cebrailova</w:t>
      </w:r>
      <w:r w:rsidRPr="006135B1">
        <w:rPr>
          <w:rFonts w:ascii="Verdana" w:eastAsia="Times New Roman" w:hAnsi="Verdana" w:cs="Times New Roman"/>
          <w:color w:val="000000"/>
          <w:sz w:val="24"/>
          <w:szCs w:val="24"/>
          <w:shd w:val="clear" w:color="auto" w:fill="FFFFFF"/>
          <w:vertAlign w:val="superscript"/>
        </w:rPr>
        <w:t>3</w:t>
      </w:r>
      <w:r w:rsidRPr="006135B1">
        <w:rPr>
          <w:rFonts w:ascii="Verdana" w:eastAsia="Times New Roman" w:hAnsi="Verdana" w:cs="Times New Roman"/>
          <w:color w:val="000000"/>
          <w:sz w:val="18"/>
          <w:szCs w:val="18"/>
          <w:shd w:val="clear" w:color="auto" w:fill="FFFFFF"/>
        </w:rPr>
        <w:t>, Aysel Suleymanova</w:t>
      </w:r>
      <w:r w:rsidRPr="006135B1">
        <w:rPr>
          <w:rFonts w:ascii="Verdana" w:eastAsia="Times New Roman" w:hAnsi="Verdana" w:cs="Times New Roman"/>
          <w:color w:val="000000"/>
          <w:sz w:val="24"/>
          <w:szCs w:val="24"/>
          <w:shd w:val="clear" w:color="auto" w:fill="FFFFFF"/>
          <w:vertAlign w:val="superscript"/>
        </w:rPr>
        <w:t>3</w:t>
      </w:r>
      <w:r w:rsidRPr="006135B1">
        <w:rPr>
          <w:rFonts w:ascii="Verdana" w:eastAsia="Times New Roman" w:hAnsi="Verdana" w:cs="Times New Roman"/>
          <w:color w:val="000000"/>
          <w:sz w:val="18"/>
          <w:szCs w:val="18"/>
        </w:rPr>
        <w:br/>
      </w:r>
      <w:r w:rsidRPr="006135B1">
        <w:rPr>
          <w:rFonts w:ascii="Times New Roman" w:eastAsia="Times New Roman" w:hAnsi="Times New Roman" w:cs="Times New Roman"/>
          <w:sz w:val="24"/>
          <w:szCs w:val="24"/>
          <w:vertAlign w:val="superscript"/>
        </w:rPr>
        <w:t>1</w:t>
      </w:r>
      <w:r w:rsidRPr="006135B1">
        <w:rPr>
          <w:rFonts w:ascii="Times New Roman" w:eastAsia="Times New Roman" w:hAnsi="Times New Roman" w:cs="Times New Roman"/>
          <w:sz w:val="24"/>
          <w:szCs w:val="24"/>
        </w:rPr>
        <w:t>Azerbaycan Tıp Üniversitesi,</w:t>
      </w:r>
      <w:r w:rsidR="00836A55">
        <w:rPr>
          <w:rFonts w:ascii="Times New Roman" w:eastAsia="Times New Roman" w:hAnsi="Times New Roman" w:cs="Times New Roman"/>
          <w:sz w:val="24"/>
          <w:szCs w:val="24"/>
        </w:rPr>
        <w:t xml:space="preserve"> </w:t>
      </w:r>
      <w:r w:rsidRPr="006135B1">
        <w:rPr>
          <w:rFonts w:ascii="Times New Roman" w:eastAsia="Times New Roman" w:hAnsi="Times New Roman" w:cs="Times New Roman"/>
          <w:sz w:val="24"/>
          <w:szCs w:val="24"/>
        </w:rPr>
        <w:t xml:space="preserve">Terapevtik ve Pediatrik </w:t>
      </w:r>
      <w:r w:rsidR="00836A55">
        <w:rPr>
          <w:rFonts w:ascii="Times New Roman" w:eastAsia="Times New Roman" w:hAnsi="Times New Roman" w:cs="Times New Roman"/>
          <w:sz w:val="24"/>
          <w:szCs w:val="24"/>
        </w:rPr>
        <w:t>P</w:t>
      </w:r>
      <w:bookmarkStart w:id="0" w:name="_GoBack"/>
      <w:bookmarkEnd w:id="0"/>
      <w:r w:rsidR="00836A55">
        <w:rPr>
          <w:rFonts w:ascii="Times New Roman" w:eastAsia="Times New Roman" w:hAnsi="Times New Roman" w:cs="Times New Roman"/>
          <w:sz w:val="24"/>
          <w:szCs w:val="24"/>
        </w:rPr>
        <w:t>ropedötik</w:t>
      </w:r>
      <w:r w:rsidRPr="006135B1">
        <w:rPr>
          <w:rFonts w:ascii="Times New Roman" w:eastAsia="Times New Roman" w:hAnsi="Times New Roman" w:cs="Times New Roman"/>
          <w:sz w:val="24"/>
          <w:szCs w:val="24"/>
        </w:rPr>
        <w:t xml:space="preserve"> Ana</w:t>
      </w:r>
      <w:r w:rsidR="00836A55">
        <w:rPr>
          <w:rFonts w:ascii="Times New Roman" w:eastAsia="Times New Roman" w:hAnsi="Times New Roman" w:cs="Times New Roman"/>
          <w:sz w:val="24"/>
          <w:szCs w:val="24"/>
        </w:rPr>
        <w:t>b</w:t>
      </w:r>
      <w:r w:rsidRPr="006135B1">
        <w:rPr>
          <w:rFonts w:ascii="Times New Roman" w:eastAsia="Times New Roman" w:hAnsi="Times New Roman" w:cs="Times New Roman"/>
          <w:sz w:val="24"/>
          <w:szCs w:val="24"/>
        </w:rPr>
        <w:t>ilim Dalı,</w:t>
      </w:r>
      <w:r w:rsidR="00836A55">
        <w:rPr>
          <w:rFonts w:ascii="Times New Roman" w:eastAsia="Times New Roman" w:hAnsi="Times New Roman" w:cs="Times New Roman"/>
          <w:sz w:val="24"/>
          <w:szCs w:val="24"/>
        </w:rPr>
        <w:t xml:space="preserve"> </w:t>
      </w:r>
      <w:r w:rsidRPr="006135B1">
        <w:rPr>
          <w:rFonts w:ascii="Times New Roman" w:eastAsia="Times New Roman" w:hAnsi="Times New Roman" w:cs="Times New Roman"/>
          <w:sz w:val="24"/>
          <w:szCs w:val="24"/>
        </w:rPr>
        <w:t>Tedris-Terapevtik klinika,Bakı</w:t>
      </w:r>
      <w:r w:rsidRPr="006135B1">
        <w:rPr>
          <w:rFonts w:ascii="Times New Roman" w:eastAsia="Times New Roman" w:hAnsi="Times New Roman" w:cs="Times New Roman"/>
          <w:sz w:val="24"/>
          <w:szCs w:val="24"/>
        </w:rPr>
        <w:br/>
      </w:r>
      <w:r w:rsidRPr="006135B1">
        <w:rPr>
          <w:rFonts w:ascii="Times New Roman" w:eastAsia="Times New Roman" w:hAnsi="Times New Roman" w:cs="Times New Roman"/>
          <w:sz w:val="24"/>
          <w:szCs w:val="24"/>
          <w:vertAlign w:val="superscript"/>
        </w:rPr>
        <w:t>2</w:t>
      </w:r>
      <w:r w:rsidRPr="006135B1">
        <w:rPr>
          <w:rFonts w:ascii="Times New Roman" w:eastAsia="Times New Roman" w:hAnsi="Times New Roman" w:cs="Times New Roman"/>
          <w:sz w:val="24"/>
          <w:szCs w:val="24"/>
        </w:rPr>
        <w:t>Klinik Çocuk Hastanesi №6</w:t>
      </w:r>
      <w:r w:rsidRPr="006135B1">
        <w:rPr>
          <w:rFonts w:ascii="Times New Roman" w:eastAsia="Times New Roman" w:hAnsi="Times New Roman" w:cs="Times New Roman"/>
          <w:sz w:val="24"/>
          <w:szCs w:val="24"/>
        </w:rPr>
        <w:br/>
      </w:r>
      <w:r w:rsidRPr="006135B1">
        <w:rPr>
          <w:rFonts w:ascii="Times New Roman" w:eastAsia="Times New Roman" w:hAnsi="Times New Roman" w:cs="Times New Roman"/>
          <w:sz w:val="24"/>
          <w:szCs w:val="24"/>
          <w:vertAlign w:val="superscript"/>
        </w:rPr>
        <w:t>3</w:t>
      </w:r>
      <w:r w:rsidRPr="006135B1">
        <w:rPr>
          <w:rFonts w:ascii="Times New Roman" w:eastAsia="Times New Roman" w:hAnsi="Times New Roman" w:cs="Times New Roman"/>
          <w:sz w:val="24"/>
          <w:szCs w:val="24"/>
        </w:rPr>
        <w:t>Azerbaycan Tıp Üniversitesi,</w:t>
      </w:r>
      <w:r w:rsidR="00836A55">
        <w:rPr>
          <w:rFonts w:ascii="Times New Roman" w:eastAsia="Times New Roman" w:hAnsi="Times New Roman" w:cs="Times New Roman"/>
          <w:sz w:val="24"/>
          <w:szCs w:val="24"/>
        </w:rPr>
        <w:t xml:space="preserve"> </w:t>
      </w:r>
      <w:r w:rsidRPr="006135B1">
        <w:rPr>
          <w:rFonts w:ascii="Times New Roman" w:eastAsia="Times New Roman" w:hAnsi="Times New Roman" w:cs="Times New Roman"/>
          <w:sz w:val="24"/>
          <w:szCs w:val="24"/>
        </w:rPr>
        <w:t>Çoc</w:t>
      </w:r>
      <w:r w:rsidR="00836A55">
        <w:rPr>
          <w:rFonts w:ascii="Times New Roman" w:eastAsia="Times New Roman" w:hAnsi="Times New Roman" w:cs="Times New Roman"/>
          <w:sz w:val="24"/>
          <w:szCs w:val="24"/>
        </w:rPr>
        <w:t>uk Sağlığı ve Hastalıkları Anab</w:t>
      </w:r>
      <w:r w:rsidRPr="006135B1">
        <w:rPr>
          <w:rFonts w:ascii="Times New Roman" w:eastAsia="Times New Roman" w:hAnsi="Times New Roman" w:cs="Times New Roman"/>
          <w:sz w:val="24"/>
          <w:szCs w:val="24"/>
        </w:rPr>
        <w:t>ilim Dalı</w:t>
      </w:r>
      <w:r w:rsidRPr="006135B1">
        <w:rPr>
          <w:rFonts w:ascii="Times New Roman" w:eastAsia="Times New Roman" w:hAnsi="Times New Roman" w:cs="Times New Roman"/>
          <w:sz w:val="24"/>
          <w:szCs w:val="24"/>
        </w:rPr>
        <w:br/>
      </w:r>
      <w:r w:rsidRPr="006135B1">
        <w:rPr>
          <w:rFonts w:ascii="Times New Roman" w:eastAsia="Times New Roman" w:hAnsi="Times New Roman" w:cs="Times New Roman"/>
          <w:sz w:val="24"/>
          <w:szCs w:val="24"/>
          <w:vertAlign w:val="superscript"/>
        </w:rPr>
        <w:t>4</w:t>
      </w:r>
      <w:r w:rsidR="00836A55">
        <w:rPr>
          <w:rFonts w:ascii="Times New Roman" w:eastAsia="Times New Roman" w:hAnsi="Times New Roman" w:cs="Times New Roman"/>
          <w:sz w:val="24"/>
          <w:szCs w:val="24"/>
        </w:rPr>
        <w:t>Azerbaycan Sağlık Bakanlığı, HB Güven Klinik</w:t>
      </w:r>
      <w:r w:rsidR="00836A55" w:rsidRPr="006135B1">
        <w:rPr>
          <w:rFonts w:ascii="Times New Roman" w:eastAsia="Times New Roman" w:hAnsi="Times New Roman" w:cs="Times New Roman"/>
          <w:sz w:val="24"/>
          <w:szCs w:val="24"/>
        </w:rPr>
        <w:t xml:space="preserve"> </w:t>
      </w:r>
      <w:r w:rsidRPr="006135B1">
        <w:rPr>
          <w:rFonts w:ascii="Times New Roman" w:eastAsia="Times New Roman" w:hAnsi="Times New Roman" w:cs="Times New Roman"/>
          <w:sz w:val="24"/>
          <w:szCs w:val="24"/>
        </w:rPr>
        <w:br/>
      </w:r>
      <w:r w:rsidRPr="006135B1">
        <w:rPr>
          <w:rFonts w:ascii="Times New Roman" w:eastAsia="Times New Roman" w:hAnsi="Times New Roman" w:cs="Times New Roman"/>
          <w:sz w:val="24"/>
          <w:szCs w:val="24"/>
        </w:rPr>
        <w:br/>
        <w:t xml:space="preserve">GİRİŞ: McCune-Albright Sendromu, G-protein alfa alt biriminde active edici mutasyon sonucu gelişen endokrin organlarda hiperfonksiyon, café au lait </w:t>
      </w:r>
      <w:r w:rsidR="00283A61">
        <w:rPr>
          <w:rFonts w:ascii="Times New Roman" w:eastAsia="Times New Roman" w:hAnsi="Times New Roman" w:cs="Times New Roman"/>
          <w:sz w:val="24"/>
          <w:szCs w:val="24"/>
        </w:rPr>
        <w:t xml:space="preserve"> l</w:t>
      </w:r>
      <w:r w:rsidRPr="006135B1">
        <w:rPr>
          <w:rFonts w:ascii="Times New Roman" w:eastAsia="Times New Roman" w:hAnsi="Times New Roman" w:cs="Times New Roman"/>
          <w:sz w:val="24"/>
          <w:szCs w:val="24"/>
        </w:rPr>
        <w:t>ekeleri ve fibröz displazi triadı ile karakterize nadir görülen bir sendromdur. Burada 3 yaşındayken McCune-Albright Sendromu, periferik puberte prekoks tanısı alan ancak tedavi uymsuzluğu nedeniyle santral puberte prekoks gelişen olğu sunulmaktadır.</w:t>
      </w:r>
      <w:r w:rsidRPr="006135B1">
        <w:rPr>
          <w:rFonts w:ascii="Times New Roman" w:eastAsia="Times New Roman" w:hAnsi="Times New Roman" w:cs="Times New Roman"/>
          <w:sz w:val="24"/>
          <w:szCs w:val="24"/>
        </w:rPr>
        <w:br/>
        <w:t>OLĞU: Yedi yaş 3 ay kız hasta meme büyümesi, vaginal kanama şikayeti ile baş vurdu. Akraba evliliği olmayan ebeveynlerden, 28 yaşındaki annenin birinci gebeliğinden, 39. gebelik haftasında 2800 gr ağırlığında doğan o</w:t>
      </w:r>
      <w:r w:rsidR="00283A61">
        <w:rPr>
          <w:rFonts w:ascii="Times New Roman" w:eastAsia="Times New Roman" w:hAnsi="Times New Roman" w:cs="Times New Roman"/>
          <w:sz w:val="24"/>
          <w:szCs w:val="24"/>
        </w:rPr>
        <w:t>l</w:t>
      </w:r>
      <w:r w:rsidRPr="006135B1">
        <w:rPr>
          <w:rFonts w:ascii="Times New Roman" w:eastAsia="Times New Roman" w:hAnsi="Times New Roman" w:cs="Times New Roman"/>
          <w:sz w:val="24"/>
          <w:szCs w:val="24"/>
        </w:rPr>
        <w:t xml:space="preserve">ğunun </w:t>
      </w:r>
      <w:r w:rsidR="00283A61">
        <w:rPr>
          <w:rFonts w:ascii="Times New Roman" w:eastAsia="Times New Roman" w:hAnsi="Times New Roman" w:cs="Times New Roman"/>
          <w:sz w:val="24"/>
          <w:szCs w:val="24"/>
        </w:rPr>
        <w:t xml:space="preserve">vaginal </w:t>
      </w:r>
      <w:r w:rsidRPr="006135B1">
        <w:rPr>
          <w:rFonts w:ascii="Times New Roman" w:eastAsia="Times New Roman" w:hAnsi="Times New Roman" w:cs="Times New Roman"/>
          <w:sz w:val="24"/>
          <w:szCs w:val="24"/>
        </w:rPr>
        <w:t>yakınmaları yaklaşık 4 yıl önce başlamıştı. Hastaya dış merkezde medoksiprogesteron tedavisi başlanmış ama şikayetinde gerileme olmamıştı. Başvuruda boy 118 cm (-1.4 SDS),ağırlık 23 kg (-0.51 SDS) idi. Meme Tanner evre 3-4,pub</w:t>
      </w:r>
      <w:r w:rsidR="00283A61">
        <w:rPr>
          <w:rFonts w:ascii="Times New Roman" w:eastAsia="Times New Roman" w:hAnsi="Times New Roman" w:cs="Times New Roman"/>
          <w:sz w:val="24"/>
          <w:szCs w:val="24"/>
        </w:rPr>
        <w:t>i</w:t>
      </w:r>
      <w:r w:rsidRPr="006135B1">
        <w:rPr>
          <w:rFonts w:ascii="Times New Roman" w:eastAsia="Times New Roman" w:hAnsi="Times New Roman" w:cs="Times New Roman"/>
          <w:sz w:val="24"/>
          <w:szCs w:val="24"/>
        </w:rPr>
        <w:t>k kıllana 2,aksiller k</w:t>
      </w:r>
      <w:r>
        <w:rPr>
          <w:rFonts w:ascii="Times New Roman" w:eastAsia="Times New Roman" w:hAnsi="Times New Roman" w:cs="Times New Roman"/>
          <w:sz w:val="24"/>
          <w:szCs w:val="24"/>
          <w:lang w:val="az-Latn-AZ"/>
        </w:rPr>
        <w:t>ı</w:t>
      </w:r>
      <w:r w:rsidRPr="006135B1">
        <w:rPr>
          <w:rFonts w:ascii="Times New Roman" w:eastAsia="Times New Roman" w:hAnsi="Times New Roman" w:cs="Times New Roman"/>
          <w:sz w:val="24"/>
          <w:szCs w:val="24"/>
        </w:rPr>
        <w:t>llanma yoktu, vagen mukozası soluk pembe renkteydi. Alın bölgesinde caffe au lait lekesi mevcuttu. Kemik yaşı 11 yaş ile uyumluydu. Hormonal değerlendirmede FSH 2,5 mU/mL, LH 0,3 mIU/ mL ve E2 76 pg/mL saptandı.</w:t>
      </w:r>
      <w:r w:rsidR="002E28CC">
        <w:rPr>
          <w:rFonts w:ascii="Times New Roman" w:eastAsia="Times New Roman" w:hAnsi="Times New Roman" w:cs="Times New Roman"/>
          <w:sz w:val="24"/>
          <w:szCs w:val="24"/>
        </w:rPr>
        <w:t>TFT,Ca,P,IGF-1,kortizol degerleri normal saptand;</w:t>
      </w:r>
      <w:r w:rsidR="002E28CC" w:rsidRPr="00CB5D7D">
        <w:rPr>
          <w:rFonts w:ascii="Times New Roman" w:eastAsia="Times New Roman" w:hAnsi="Times New Roman" w:cs="Times New Roman"/>
          <w:sz w:val="24"/>
          <w:szCs w:val="24"/>
        </w:rPr>
        <w:t xml:space="preserve"> LHRH testi aparıldı: LH 8 mİU/ml oldu</w:t>
      </w:r>
      <w:r w:rsidR="002E28CC" w:rsidRPr="007450C1">
        <w:rPr>
          <w:rFonts w:ascii="Times New Roman" w:eastAsia="Times New Roman" w:hAnsi="Times New Roman" w:cs="Times New Roman"/>
          <w:sz w:val="24"/>
          <w:szCs w:val="24"/>
        </w:rPr>
        <w:t xml:space="preserve"> </w:t>
      </w:r>
      <w:r w:rsidR="002E28CC">
        <w:rPr>
          <w:rFonts w:ascii="Times New Roman" w:eastAsia="Times New Roman" w:hAnsi="Times New Roman" w:cs="Times New Roman"/>
          <w:sz w:val="24"/>
          <w:szCs w:val="24"/>
        </w:rPr>
        <w:t>.</w:t>
      </w:r>
      <w:r w:rsidR="002E28CC" w:rsidRPr="007450C1">
        <w:rPr>
          <w:rFonts w:ascii="Times New Roman" w:eastAsia="Times New Roman" w:hAnsi="Times New Roman" w:cs="Times New Roman"/>
          <w:sz w:val="24"/>
          <w:szCs w:val="24"/>
        </w:rPr>
        <w:t>Pelvik US</w:t>
      </w:r>
      <w:r w:rsidR="002E28CC">
        <w:rPr>
          <w:rFonts w:ascii="Times New Roman" w:eastAsia="Times New Roman" w:hAnsi="Times New Roman" w:cs="Times New Roman"/>
          <w:sz w:val="24"/>
          <w:szCs w:val="24"/>
        </w:rPr>
        <w:t>M</w:t>
      </w:r>
      <w:r w:rsidR="002E28CC" w:rsidRPr="007450C1">
        <w:rPr>
          <w:rFonts w:ascii="Times New Roman" w:eastAsia="Times New Roman" w:hAnsi="Times New Roman" w:cs="Times New Roman"/>
          <w:sz w:val="24"/>
          <w:szCs w:val="24"/>
        </w:rPr>
        <w:t>’d</w:t>
      </w:r>
      <w:r w:rsidR="002E28CC">
        <w:rPr>
          <w:rFonts w:ascii="Times New Roman" w:eastAsia="Times New Roman" w:hAnsi="Times New Roman" w:cs="Times New Roman"/>
          <w:sz w:val="24"/>
          <w:szCs w:val="24"/>
        </w:rPr>
        <w:t>ə</w:t>
      </w:r>
      <w:r w:rsidR="002E28CC" w:rsidRPr="007450C1">
        <w:rPr>
          <w:rFonts w:ascii="Times New Roman" w:eastAsia="Times New Roman" w:hAnsi="Times New Roman" w:cs="Times New Roman"/>
          <w:sz w:val="24"/>
          <w:szCs w:val="24"/>
        </w:rPr>
        <w:t xml:space="preserve"> overl</w:t>
      </w:r>
      <w:r w:rsidR="002E28CC">
        <w:rPr>
          <w:rFonts w:ascii="Times New Roman" w:eastAsia="Times New Roman" w:hAnsi="Times New Roman" w:cs="Times New Roman"/>
          <w:sz w:val="24"/>
          <w:szCs w:val="24"/>
        </w:rPr>
        <w:t>ə</w:t>
      </w:r>
      <w:r w:rsidR="002E28CC" w:rsidRPr="007450C1">
        <w:rPr>
          <w:rFonts w:ascii="Times New Roman" w:eastAsia="Times New Roman" w:hAnsi="Times New Roman" w:cs="Times New Roman"/>
          <w:sz w:val="24"/>
          <w:szCs w:val="24"/>
        </w:rPr>
        <w:t>r b</w:t>
      </w:r>
      <w:r w:rsidR="002E28CC">
        <w:rPr>
          <w:rFonts w:ascii="Times New Roman" w:eastAsia="Times New Roman" w:hAnsi="Times New Roman" w:cs="Times New Roman"/>
          <w:sz w:val="24"/>
          <w:szCs w:val="24"/>
        </w:rPr>
        <w:t>ö</w:t>
      </w:r>
      <w:r w:rsidR="002E28CC" w:rsidRPr="007450C1">
        <w:rPr>
          <w:rFonts w:ascii="Times New Roman" w:eastAsia="Times New Roman" w:hAnsi="Times New Roman" w:cs="Times New Roman"/>
          <w:sz w:val="24"/>
          <w:szCs w:val="24"/>
        </w:rPr>
        <w:t>yük (Sağ 4.8 cc, sol 5,6 cc) olu</w:t>
      </w:r>
      <w:r w:rsidR="002E28CC">
        <w:rPr>
          <w:rFonts w:ascii="Times New Roman" w:eastAsia="Times New Roman" w:hAnsi="Times New Roman" w:cs="Times New Roman"/>
          <w:sz w:val="24"/>
          <w:szCs w:val="24"/>
        </w:rPr>
        <w:t>b</w:t>
      </w:r>
      <w:r w:rsidR="002E28CC" w:rsidRPr="007450C1">
        <w:rPr>
          <w:rFonts w:ascii="Times New Roman" w:eastAsia="Times New Roman" w:hAnsi="Times New Roman" w:cs="Times New Roman"/>
          <w:sz w:val="24"/>
          <w:szCs w:val="24"/>
        </w:rPr>
        <w:t xml:space="preserve"> h</w:t>
      </w:r>
      <w:r w:rsidR="002E28CC">
        <w:rPr>
          <w:rFonts w:ascii="Times New Roman" w:eastAsia="Times New Roman" w:hAnsi="Times New Roman" w:cs="Times New Roman"/>
          <w:sz w:val="24"/>
          <w:szCs w:val="24"/>
        </w:rPr>
        <w:t>ə</w:t>
      </w:r>
      <w:r w:rsidR="002E28CC" w:rsidRPr="007450C1">
        <w:rPr>
          <w:rFonts w:ascii="Times New Roman" w:eastAsia="Times New Roman" w:hAnsi="Times New Roman" w:cs="Times New Roman"/>
          <w:sz w:val="24"/>
          <w:szCs w:val="24"/>
        </w:rPr>
        <w:t>r ikisind</w:t>
      </w:r>
      <w:r w:rsidR="002E28CC">
        <w:rPr>
          <w:rFonts w:ascii="Times New Roman" w:eastAsia="Times New Roman" w:hAnsi="Times New Roman" w:cs="Times New Roman"/>
          <w:sz w:val="24"/>
          <w:szCs w:val="24"/>
        </w:rPr>
        <w:t>ə</w:t>
      </w:r>
      <w:r w:rsidR="005264B9">
        <w:rPr>
          <w:rFonts w:ascii="Times New Roman" w:eastAsia="Times New Roman" w:hAnsi="Times New Roman" w:cs="Times New Roman"/>
          <w:sz w:val="24"/>
          <w:szCs w:val="24"/>
        </w:rPr>
        <w:t xml:space="preserve">. </w:t>
      </w:r>
      <w:r w:rsidRPr="006135B1">
        <w:rPr>
          <w:rFonts w:ascii="Times New Roman" w:eastAsia="Times New Roman" w:hAnsi="Times New Roman" w:cs="Times New Roman"/>
          <w:sz w:val="24"/>
          <w:szCs w:val="24"/>
        </w:rPr>
        <w:t>Pelvik USG’de overleri büyük (Sağ 4.8 cc, sol 5,6 cc) olup her ikisinde de çok sayıda kist vardı. Kemik surveyinde sphenoidal kemikte 23x15 mm,sağ kalça kemiğinde 30x40 mm boyutunda fibröz displazi ile uyumlu osteoblastik aktivite artışı mevcuttu. Hastaya kombine puberte prekoks tanısı konularak LHRH analogu başlandı. Öngörülen boyu 135,6 cm</w:t>
      </w:r>
      <w:r w:rsidR="005264B9">
        <w:rPr>
          <w:rFonts w:ascii="Times New Roman" w:eastAsia="Times New Roman" w:hAnsi="Times New Roman" w:cs="Times New Roman"/>
          <w:sz w:val="24"/>
          <w:szCs w:val="24"/>
        </w:rPr>
        <w:t>,MPH 155 cm</w:t>
      </w:r>
      <w:r w:rsidRPr="006135B1">
        <w:rPr>
          <w:rFonts w:ascii="Times New Roman" w:eastAsia="Times New Roman" w:hAnsi="Times New Roman" w:cs="Times New Roman"/>
          <w:sz w:val="24"/>
          <w:szCs w:val="24"/>
        </w:rPr>
        <w:t xml:space="preserve"> olan oğunun tedavsine Letrazol eklendi.Hastanın 1 yıllık izleminde kemik yaşında ilerileme olmadı.</w:t>
      </w:r>
      <w:r w:rsidRPr="006135B1">
        <w:rPr>
          <w:rFonts w:ascii="Times New Roman" w:eastAsia="Times New Roman" w:hAnsi="Times New Roman" w:cs="Times New Roman"/>
          <w:sz w:val="24"/>
          <w:szCs w:val="24"/>
        </w:rPr>
        <w:br/>
        <w:t>Sonuç: McCune-Albright sendromunda,kombine erken puberte tedavisinde LHRH analogu ve Letrozolla birlikte kullanımı seks steroidlerini baskılamada ve kemik yaşını durdurmada iyi sonuç veriy</w:t>
      </w:r>
      <w:r w:rsidRPr="006135B1">
        <w:rPr>
          <w:rFonts w:ascii="Times New Roman" w:eastAsia="Times New Roman" w:hAnsi="Times New Roman" w:cs="Times New Roman"/>
          <w:sz w:val="24"/>
          <w:szCs w:val="24"/>
        </w:rPr>
        <w:br/>
      </w:r>
      <w:r w:rsidRPr="006135B1">
        <w:rPr>
          <w:rFonts w:ascii="Times New Roman" w:eastAsia="Times New Roman" w:hAnsi="Times New Roman" w:cs="Times New Roman"/>
          <w:sz w:val="24"/>
          <w:szCs w:val="24"/>
        </w:rPr>
        <w:br/>
      </w:r>
      <w:r w:rsidRPr="006135B1">
        <w:rPr>
          <w:rFonts w:ascii="Times New Roman" w:eastAsia="Times New Roman" w:hAnsi="Times New Roman" w:cs="Times New Roman"/>
          <w:b/>
          <w:bCs/>
          <w:sz w:val="24"/>
          <w:szCs w:val="24"/>
        </w:rPr>
        <w:t>Anahtar Kelimeler: </w:t>
      </w:r>
      <w:r w:rsidRPr="006135B1">
        <w:rPr>
          <w:rFonts w:ascii="Times New Roman" w:eastAsia="Times New Roman" w:hAnsi="Times New Roman" w:cs="Times New Roman"/>
          <w:sz w:val="24"/>
          <w:szCs w:val="24"/>
        </w:rPr>
        <w:t>McCune Albright, puberte prekoks, kombine tedavi, santral puberte prekoks</w:t>
      </w:r>
    </w:p>
    <w:p w:rsidR="00CB5D7D" w:rsidRDefault="00CB5D7D" w:rsidP="006135B1">
      <w:pPr>
        <w:rPr>
          <w:rFonts w:ascii="Times New Roman" w:eastAsia="Times New Roman" w:hAnsi="Times New Roman" w:cs="Times New Roman"/>
          <w:sz w:val="24"/>
          <w:szCs w:val="24"/>
        </w:rPr>
      </w:pPr>
    </w:p>
    <w:p w:rsidR="006135B1" w:rsidRDefault="006135B1" w:rsidP="006135B1">
      <w:pPr>
        <w:rPr>
          <w:rFonts w:ascii="Times New Roman" w:eastAsia="Times New Roman" w:hAnsi="Times New Roman" w:cs="Times New Roman"/>
          <w:sz w:val="24"/>
          <w:szCs w:val="24"/>
        </w:rPr>
      </w:pPr>
    </w:p>
    <w:p w:rsidR="00CB5D7D" w:rsidRDefault="006135B1" w:rsidP="006135B1">
      <w:r>
        <w:rPr>
          <w:noProof/>
          <w:lang w:val="tr-TR" w:eastAsia="tr-TR"/>
        </w:rPr>
        <w:lastRenderedPageBreak/>
        <w:drawing>
          <wp:inline distT="0" distB="0" distL="0" distR="0" wp14:anchorId="08FB8367" wp14:editId="7672822F">
            <wp:extent cx="4286250" cy="5715000"/>
            <wp:effectExtent l="0" t="0" r="0" b="0"/>
            <wp:docPr id="1" name="Рисунок 1" descr="https://www.abstractmodule.com/2019upek/abs_files/0219_McC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abstractmodule.com/2019upek/abs_files/0219_McCun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5715000"/>
                    </a:xfrm>
                    <a:prstGeom prst="rect">
                      <a:avLst/>
                    </a:prstGeom>
                    <a:noFill/>
                    <a:ln>
                      <a:noFill/>
                    </a:ln>
                  </pic:spPr>
                </pic:pic>
              </a:graphicData>
            </a:graphic>
          </wp:inline>
        </w:drawing>
      </w:r>
      <w:r w:rsidRPr="006135B1">
        <w:rPr>
          <w:rFonts w:ascii="Times New Roman" w:eastAsia="Times New Roman" w:hAnsi="Times New Roman" w:cs="Times New Roman"/>
          <w:sz w:val="24"/>
          <w:szCs w:val="24"/>
        </w:rPr>
        <w:br/>
      </w:r>
    </w:p>
    <w:sectPr w:rsidR="00CB5D7D">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font>
  <w:font w:name="Verdana">
    <w:panose1 w:val="020B0604030504040204"/>
    <w:charset w:val="A2"/>
    <w:family w:val="swiss"/>
    <w:pitch w:val="variable"/>
    <w:sig w:usb0="A10006FF" w:usb1="4000205B" w:usb2="00000010"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5B1"/>
    <w:rsid w:val="00283A61"/>
    <w:rsid w:val="002E28CC"/>
    <w:rsid w:val="003575EC"/>
    <w:rsid w:val="005264B9"/>
    <w:rsid w:val="006135B1"/>
    <w:rsid w:val="007450C1"/>
    <w:rsid w:val="00836A55"/>
    <w:rsid w:val="00A365C3"/>
    <w:rsid w:val="00BE3B3F"/>
    <w:rsid w:val="00CB5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36A5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36A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36A5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36A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0710715">
      <w:bodyDiv w:val="1"/>
      <w:marLeft w:val="0"/>
      <w:marRight w:val="0"/>
      <w:marTop w:val="0"/>
      <w:marBottom w:val="0"/>
      <w:divBdr>
        <w:top w:val="none" w:sz="0" w:space="0" w:color="auto"/>
        <w:left w:val="none" w:sz="0" w:space="0" w:color="auto"/>
        <w:bottom w:val="none" w:sz="0" w:space="0" w:color="auto"/>
        <w:right w:val="none" w:sz="0" w:space="0" w:color="auto"/>
      </w:divBdr>
      <w:divsChild>
        <w:div w:id="13162990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2</Pages>
  <Words>365</Words>
  <Characters>2083</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Lenovo</cp:lastModifiedBy>
  <cp:revision>5</cp:revision>
  <dcterms:created xsi:type="dcterms:W3CDTF">2019-03-08T17:41:00Z</dcterms:created>
  <dcterms:modified xsi:type="dcterms:W3CDTF">2019-04-14T08:52:00Z</dcterms:modified>
</cp:coreProperties>
</file>