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48A" w:rsidRPr="00A4648A" w:rsidRDefault="00A4648A" w:rsidP="00A4648A">
      <w:pPr>
        <w:spacing w:after="0" w:line="240" w:lineRule="auto"/>
        <w:outlineLvl w:val="2"/>
        <w:rPr>
          <w:rFonts w:ascii="Calibri" w:eastAsia="Times New Roman" w:hAnsi="Calibri" w:cs="Calibri"/>
          <w:b/>
          <w:bCs/>
          <w:sz w:val="28"/>
          <w:szCs w:val="28"/>
        </w:rPr>
      </w:pPr>
      <w:r w:rsidRPr="00A4648A">
        <w:rPr>
          <w:rFonts w:ascii="Calibri" w:eastAsia="Times New Roman" w:hAnsi="Calibri" w:cs="Calibri"/>
          <w:b/>
          <w:bCs/>
          <w:sz w:val="28"/>
          <w:szCs w:val="28"/>
        </w:rPr>
        <w:t>P2-153</w:t>
      </w:r>
    </w:p>
    <w:p w:rsidR="00A4648A" w:rsidRPr="00A4648A" w:rsidRDefault="00A4648A" w:rsidP="00A4648A">
      <w:pPr>
        <w:spacing w:before="120" w:after="100" w:afterAutospacing="1" w:line="240" w:lineRule="auto"/>
        <w:outlineLvl w:val="1"/>
        <w:rPr>
          <w:rFonts w:ascii="Calibri" w:eastAsia="Times New Roman" w:hAnsi="Calibri" w:cs="Calibri"/>
          <w:b/>
          <w:bCs/>
          <w:sz w:val="28"/>
          <w:szCs w:val="28"/>
        </w:rPr>
      </w:pPr>
      <w:r w:rsidRPr="00A4648A">
        <w:rPr>
          <w:rFonts w:ascii="Calibri" w:eastAsia="Times New Roman" w:hAnsi="Calibri" w:cs="Calibri"/>
          <w:b/>
          <w:bCs/>
          <w:sz w:val="28"/>
          <w:szCs w:val="28"/>
        </w:rPr>
        <w:t xml:space="preserve">EVALUATION </w:t>
      </w:r>
      <w:proofErr w:type="gramStart"/>
      <w:r w:rsidRPr="00A4648A">
        <w:rPr>
          <w:rFonts w:ascii="Calibri" w:eastAsia="Times New Roman" w:hAnsi="Calibri" w:cs="Calibri"/>
          <w:b/>
          <w:bCs/>
          <w:sz w:val="28"/>
          <w:szCs w:val="28"/>
        </w:rPr>
        <w:t>OF  MINUTES</w:t>
      </w:r>
      <w:proofErr w:type="gramEnd"/>
      <w:r w:rsidRPr="00A4648A">
        <w:rPr>
          <w:rFonts w:ascii="Calibri" w:eastAsia="Times New Roman" w:hAnsi="Calibri" w:cs="Calibri"/>
          <w:b/>
          <w:bCs/>
          <w:sz w:val="28"/>
          <w:szCs w:val="28"/>
        </w:rPr>
        <w:t xml:space="preserve"> RELATED TO THE MAXIMUM  LEVELS AND RANDOM BASAL LEVELS OF GROWTH HORMONE DURING STIMULATION TEST WITH GLUCAGON</w:t>
      </w:r>
    </w:p>
    <w:p w:rsidR="00A4648A" w:rsidRPr="00A4648A" w:rsidRDefault="00A4648A" w:rsidP="00A4648A">
      <w:pPr>
        <w:spacing w:after="0" w:line="240" w:lineRule="auto"/>
        <w:rPr>
          <w:rFonts w:ascii="Calibri" w:eastAsia="Times New Roman" w:hAnsi="Calibri" w:cs="Calibri"/>
        </w:rPr>
      </w:pPr>
      <w:proofErr w:type="spellStart"/>
      <w:r w:rsidRPr="00A4648A">
        <w:rPr>
          <w:rFonts w:ascii="Arial" w:eastAsia="Times New Roman" w:hAnsi="Arial" w:cs="Arial"/>
          <w:spacing w:val="7"/>
          <w:u w:val="single"/>
        </w:rPr>
        <w:t>Nabat</w:t>
      </w:r>
      <w:proofErr w:type="spellEnd"/>
      <w:r w:rsidRPr="00A4648A">
        <w:rPr>
          <w:rFonts w:ascii="Arial" w:eastAsia="Times New Roman" w:hAnsi="Arial" w:cs="Arial"/>
          <w:spacing w:val="7"/>
          <w:u w:val="single"/>
        </w:rPr>
        <w:t xml:space="preserve"> Agayeva</w:t>
      </w:r>
      <w:r w:rsidRPr="00A4648A">
        <w:rPr>
          <w:rFonts w:ascii="Calibri" w:eastAsia="Times New Roman" w:hAnsi="Calibri" w:cs="Calibri"/>
          <w:vertAlign w:val="superscript"/>
        </w:rPr>
        <w:t>1</w:t>
      </w:r>
      <w:r w:rsidRPr="00A4648A">
        <w:rPr>
          <w:rFonts w:ascii="Arial" w:eastAsia="Times New Roman" w:hAnsi="Arial" w:cs="Arial"/>
          <w:spacing w:val="7"/>
        </w:rPr>
        <w:t>, Azad Akberzade</w:t>
      </w:r>
      <w:r w:rsidRPr="00A4648A">
        <w:rPr>
          <w:rFonts w:ascii="Calibri" w:eastAsia="Times New Roman" w:hAnsi="Calibri" w:cs="Calibri"/>
          <w:vertAlign w:val="superscript"/>
        </w:rPr>
        <w:t>1</w:t>
      </w:r>
      <w:r w:rsidRPr="00A4648A">
        <w:rPr>
          <w:rFonts w:ascii="Arial" w:eastAsia="Times New Roman" w:hAnsi="Arial" w:cs="Arial"/>
          <w:spacing w:val="7"/>
        </w:rPr>
        <w:t>, </w:t>
      </w:r>
      <w:proofErr w:type="spellStart"/>
      <w:r w:rsidRPr="00A4648A">
        <w:rPr>
          <w:rFonts w:ascii="Arial" w:eastAsia="Times New Roman" w:hAnsi="Arial" w:cs="Arial"/>
          <w:spacing w:val="7"/>
        </w:rPr>
        <w:t>Laman</w:t>
      </w:r>
      <w:proofErr w:type="spellEnd"/>
      <w:r w:rsidRPr="00A4648A">
        <w:rPr>
          <w:rFonts w:ascii="Arial" w:eastAsia="Times New Roman" w:hAnsi="Arial" w:cs="Arial"/>
          <w:spacing w:val="7"/>
        </w:rPr>
        <w:t xml:space="preserve"> Sultanova</w:t>
      </w:r>
      <w:r w:rsidRPr="00A4648A">
        <w:rPr>
          <w:rFonts w:ascii="Calibri" w:eastAsia="Times New Roman" w:hAnsi="Calibri" w:cs="Calibri"/>
          <w:vertAlign w:val="superscript"/>
        </w:rPr>
        <w:t>1</w:t>
      </w:r>
      <w:proofErr w:type="gramStart"/>
      <w:r w:rsidRPr="00A4648A">
        <w:rPr>
          <w:rFonts w:ascii="Calibri" w:eastAsia="Times New Roman" w:hAnsi="Calibri" w:cs="Calibri"/>
          <w:vertAlign w:val="superscript"/>
        </w:rPr>
        <w:t>,2</w:t>
      </w:r>
      <w:proofErr w:type="gramEnd"/>
    </w:p>
    <w:p w:rsidR="00A4648A" w:rsidRPr="00A4648A" w:rsidRDefault="00A4648A" w:rsidP="00A4648A">
      <w:pPr>
        <w:spacing w:after="0" w:line="240" w:lineRule="auto"/>
        <w:rPr>
          <w:rFonts w:ascii="Calibri" w:eastAsia="Times New Roman" w:hAnsi="Calibri" w:cs="Calibri"/>
        </w:rPr>
      </w:pPr>
      <w:r w:rsidRPr="00A4648A">
        <w:rPr>
          <w:rFonts w:ascii="Calibri" w:eastAsia="Times New Roman" w:hAnsi="Calibri" w:cs="Calibri"/>
          <w:vertAlign w:val="superscript"/>
        </w:rPr>
        <w:t>1</w:t>
      </w:r>
      <w:r w:rsidRPr="00A4648A">
        <w:rPr>
          <w:rFonts w:ascii="Arial" w:eastAsia="Times New Roman" w:hAnsi="Arial" w:cs="Arial"/>
          <w:spacing w:val="7"/>
        </w:rPr>
        <w:t>Meta Children's Endocrine Center, Baku, Azerbaijan. </w:t>
      </w:r>
      <w:r w:rsidRPr="00A4648A">
        <w:rPr>
          <w:rFonts w:ascii="Calibri" w:eastAsia="Times New Roman" w:hAnsi="Calibri" w:cs="Calibri"/>
          <w:vertAlign w:val="superscript"/>
        </w:rPr>
        <w:t>2</w:t>
      </w:r>
      <w:r w:rsidRPr="00A4648A">
        <w:rPr>
          <w:rFonts w:ascii="Arial" w:eastAsia="Times New Roman" w:hAnsi="Arial" w:cs="Arial"/>
          <w:spacing w:val="7"/>
        </w:rPr>
        <w:t>Azerbaijan Medical University, Baku, Azerbaijan</w:t>
      </w:r>
    </w:p>
    <w:p w:rsidR="00A4648A" w:rsidRPr="00A4648A" w:rsidRDefault="00A4648A" w:rsidP="00A4648A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b/>
          <w:bCs/>
          <w:sz w:val="24"/>
          <w:szCs w:val="24"/>
        </w:rPr>
      </w:pPr>
      <w:r w:rsidRPr="00A4648A">
        <w:rPr>
          <w:rFonts w:ascii="Calibri" w:eastAsia="Times New Roman" w:hAnsi="Calibri" w:cs="Calibri"/>
          <w:b/>
          <w:bCs/>
        </w:rPr>
        <w:t>Abstract</w:t>
      </w:r>
    </w:p>
    <w:p w:rsidR="00A4648A" w:rsidRPr="00A4648A" w:rsidRDefault="00A4648A" w:rsidP="00A4648A">
      <w:pPr>
        <w:spacing w:before="100" w:beforeAutospacing="1" w:after="100" w:afterAutospacing="1" w:line="240" w:lineRule="auto"/>
        <w:rPr>
          <w:rFonts w:ascii="Calibri" w:eastAsia="Times New Roman" w:hAnsi="Calibri" w:cs="Calibri"/>
        </w:rPr>
      </w:pPr>
      <w:r w:rsidRPr="00A4648A">
        <w:rPr>
          <w:rFonts w:ascii="Calibri" w:eastAsia="Times New Roman" w:hAnsi="Calibri" w:cs="Calibri"/>
        </w:rPr>
        <w:t xml:space="preserve">Different substances </w:t>
      </w:r>
      <w:proofErr w:type="gramStart"/>
      <w:r w:rsidRPr="00A4648A">
        <w:rPr>
          <w:rFonts w:ascii="Calibri" w:eastAsia="Times New Roman" w:hAnsi="Calibri" w:cs="Calibri"/>
        </w:rPr>
        <w:t>are used</w:t>
      </w:r>
      <w:proofErr w:type="gramEnd"/>
      <w:r w:rsidRPr="00A4648A">
        <w:rPr>
          <w:rFonts w:ascii="Calibri" w:eastAsia="Times New Roman" w:hAnsi="Calibri" w:cs="Calibri"/>
        </w:rPr>
        <w:t xml:space="preserve"> to confirm/deny growth hormone (GH) deficiency. One of them is Glucagon. The exact mechanism of glucagon's direct stimulation of growth hormone secretion </w:t>
      </w:r>
      <w:proofErr w:type="gramStart"/>
      <w:r w:rsidRPr="00A4648A">
        <w:rPr>
          <w:rFonts w:ascii="Calibri" w:eastAsia="Times New Roman" w:hAnsi="Calibri" w:cs="Calibri"/>
        </w:rPr>
        <w:t>is not known</w:t>
      </w:r>
      <w:proofErr w:type="gramEnd"/>
      <w:r w:rsidRPr="00A4648A">
        <w:rPr>
          <w:rFonts w:ascii="Calibri" w:eastAsia="Times New Roman" w:hAnsi="Calibri" w:cs="Calibri"/>
        </w:rPr>
        <w:t xml:space="preserve">, its hypoglycemic effect and late effect against glucagon are used during the test. Thus, since glucagon is a </w:t>
      </w:r>
      <w:proofErr w:type="spellStart"/>
      <w:r w:rsidRPr="00A4648A">
        <w:rPr>
          <w:rFonts w:ascii="Calibri" w:eastAsia="Times New Roman" w:hAnsi="Calibri" w:cs="Calibri"/>
        </w:rPr>
        <w:t>counterinsular</w:t>
      </w:r>
      <w:proofErr w:type="spellEnd"/>
      <w:r w:rsidRPr="00A4648A">
        <w:rPr>
          <w:rFonts w:ascii="Calibri" w:eastAsia="Times New Roman" w:hAnsi="Calibri" w:cs="Calibri"/>
        </w:rPr>
        <w:t xml:space="preserve"> hormone, it raises blood sugar, correspondingly, the amount of insulin in the blood increases, and increased insulin, in turn, causes hypoglycemia. Hypoglycemia is a stimulating factor for GH secretion.</w:t>
      </w:r>
    </w:p>
    <w:p w:rsidR="00A4648A" w:rsidRPr="00A4648A" w:rsidRDefault="00A4648A" w:rsidP="00A4648A">
      <w:pPr>
        <w:spacing w:before="100" w:beforeAutospacing="1" w:after="100" w:afterAutospacing="1" w:line="240" w:lineRule="auto"/>
        <w:rPr>
          <w:rFonts w:ascii="Calibri" w:eastAsia="Times New Roman" w:hAnsi="Calibri" w:cs="Calibri"/>
        </w:rPr>
      </w:pPr>
      <w:r w:rsidRPr="00A4648A">
        <w:rPr>
          <w:rFonts w:ascii="Calibri" w:eastAsia="Times New Roman" w:hAnsi="Calibri" w:cs="Calibri"/>
        </w:rPr>
        <w:t>Purpose: in the present study, we investigated which hours are the most suitable for taking a blood sample for growth hormone. </w:t>
      </w:r>
    </w:p>
    <w:p w:rsidR="00A4648A" w:rsidRPr="00A4648A" w:rsidRDefault="00A4648A" w:rsidP="00A4648A">
      <w:pPr>
        <w:spacing w:before="100" w:beforeAutospacing="1" w:after="100" w:afterAutospacing="1" w:line="240" w:lineRule="auto"/>
        <w:rPr>
          <w:rFonts w:ascii="Calibri" w:eastAsia="Times New Roman" w:hAnsi="Calibri" w:cs="Calibri"/>
        </w:rPr>
      </w:pPr>
      <w:r w:rsidRPr="00A4648A">
        <w:rPr>
          <w:rFonts w:ascii="Calibri" w:eastAsia="Times New Roman" w:hAnsi="Calibri" w:cs="Calibri"/>
        </w:rPr>
        <w:t xml:space="preserve">Material and methods: 49 stimulation tests performed .GH peak </w:t>
      </w:r>
      <w:proofErr w:type="gramStart"/>
      <w:r w:rsidRPr="00A4648A">
        <w:rPr>
          <w:rFonts w:ascii="Calibri" w:eastAsia="Times New Roman" w:hAnsi="Calibri" w:cs="Calibri"/>
        </w:rPr>
        <w:t>was obtained</w:t>
      </w:r>
      <w:proofErr w:type="gramEnd"/>
      <w:r w:rsidRPr="00A4648A">
        <w:rPr>
          <w:rFonts w:ascii="Calibri" w:eastAsia="Times New Roman" w:hAnsi="Calibri" w:cs="Calibri"/>
        </w:rPr>
        <w:t xml:space="preserve"> in 31% of the tests in the 2.5th hour, in 22% in the 3rd hour, in 22% in the 2nd hour, and in 10% in the 1.5th hour. In 100% of tests with a peak at 3 hours, the GH reading at 2.5 hours is lower than at 3 hours. Only 18% of those patients had 2.5 hour peak GH &gt; 7 ng/ml. This suggests that tests stopped at 2.5 hours may lead to inadequate results. In 80% of the tests with a peak at 1.5 hours, the 1.5 and 2 hour samples showed the same result. </w:t>
      </w:r>
      <w:proofErr w:type="gramStart"/>
      <w:r w:rsidRPr="00A4648A">
        <w:rPr>
          <w:rFonts w:ascii="Calibri" w:eastAsia="Times New Roman" w:hAnsi="Calibri" w:cs="Calibri"/>
        </w:rPr>
        <w:t>A total of 20</w:t>
      </w:r>
      <w:proofErr w:type="gramEnd"/>
      <w:r w:rsidRPr="00A4648A">
        <w:rPr>
          <w:rFonts w:ascii="Calibri" w:eastAsia="Times New Roman" w:hAnsi="Calibri" w:cs="Calibri"/>
        </w:rPr>
        <w:t xml:space="preserve">% of tests had GH &lt; 7 ng/ml at 2 h, after peak levels at 1.5 h. The blood samples: 0` 90` 120` 150` 180` minutes are considered appropriate. A blood sample may not be taken at </w:t>
      </w:r>
      <w:proofErr w:type="gramStart"/>
      <w:r w:rsidRPr="00A4648A">
        <w:rPr>
          <w:rFonts w:ascii="Calibri" w:eastAsia="Times New Roman" w:hAnsi="Calibri" w:cs="Calibri"/>
        </w:rPr>
        <w:t>0</w:t>
      </w:r>
      <w:proofErr w:type="gramEnd"/>
      <w:r w:rsidRPr="00A4648A">
        <w:rPr>
          <w:rFonts w:ascii="Calibri" w:eastAsia="Times New Roman" w:hAnsi="Calibri" w:cs="Calibri"/>
        </w:rPr>
        <w:t xml:space="preserve"> if there is already a valid random basal growth hormone result. </w:t>
      </w:r>
      <w:proofErr w:type="gramStart"/>
      <w:r w:rsidRPr="00A4648A">
        <w:rPr>
          <w:rFonts w:ascii="Calibri" w:eastAsia="Times New Roman" w:hAnsi="Calibri" w:cs="Calibri"/>
        </w:rPr>
        <w:t>200</w:t>
      </w:r>
      <w:proofErr w:type="gramEnd"/>
      <w:r w:rsidRPr="00A4648A">
        <w:rPr>
          <w:rFonts w:ascii="Calibri" w:eastAsia="Times New Roman" w:hAnsi="Calibri" w:cs="Calibri"/>
        </w:rPr>
        <w:t xml:space="preserve"> tests were examined. Basal growth hormone &gt; 2 ng/ml </w:t>
      </w:r>
      <w:proofErr w:type="gramStart"/>
      <w:r w:rsidRPr="00A4648A">
        <w:rPr>
          <w:rFonts w:ascii="Calibri" w:eastAsia="Times New Roman" w:hAnsi="Calibri" w:cs="Calibri"/>
        </w:rPr>
        <w:t>was detected</w:t>
      </w:r>
      <w:proofErr w:type="gramEnd"/>
      <w:r w:rsidRPr="00A4648A">
        <w:rPr>
          <w:rFonts w:ascii="Calibri" w:eastAsia="Times New Roman" w:hAnsi="Calibri" w:cs="Calibri"/>
        </w:rPr>
        <w:t xml:space="preserve"> in 25% of them. </w:t>
      </w:r>
      <w:proofErr w:type="gramStart"/>
      <w:r w:rsidRPr="00A4648A">
        <w:rPr>
          <w:rFonts w:ascii="Calibri" w:eastAsia="Times New Roman" w:hAnsi="Calibri" w:cs="Calibri"/>
        </w:rPr>
        <w:t>12%</w:t>
      </w:r>
      <w:proofErr w:type="gramEnd"/>
      <w:r w:rsidRPr="00A4648A">
        <w:rPr>
          <w:rFonts w:ascii="Calibri" w:eastAsia="Times New Roman" w:hAnsi="Calibri" w:cs="Calibri"/>
        </w:rPr>
        <w:t xml:space="preserve"> of the tests were excluded from the study. In 60% of the selected tests, basal growth hormone was &gt; 2 ng/ml. In 40% of the tests, basal hormone was &gt; 4 ng/ml. In 35% of the group with basal hormone &gt; 2 ng/ml the maximum peak was less than </w:t>
      </w:r>
      <w:proofErr w:type="gramStart"/>
      <w:r w:rsidRPr="00A4648A">
        <w:rPr>
          <w:rFonts w:ascii="Calibri" w:eastAsia="Times New Roman" w:hAnsi="Calibri" w:cs="Calibri"/>
        </w:rPr>
        <w:t>7</w:t>
      </w:r>
      <w:proofErr w:type="gramEnd"/>
      <w:r w:rsidRPr="00A4648A">
        <w:rPr>
          <w:rFonts w:ascii="Calibri" w:eastAsia="Times New Roman" w:hAnsi="Calibri" w:cs="Calibri"/>
        </w:rPr>
        <w:t xml:space="preserve"> ng/ml. 6% of the group with basal hormone &gt; 4 ng/ml had a maximal peak of less than 7 ng/ml.</w:t>
      </w:r>
    </w:p>
    <w:p w:rsidR="00A4648A" w:rsidRPr="00A4648A" w:rsidRDefault="00A4648A" w:rsidP="00A4648A">
      <w:pPr>
        <w:spacing w:before="100" w:beforeAutospacing="1" w:after="100" w:afterAutospacing="1" w:line="240" w:lineRule="auto"/>
        <w:rPr>
          <w:rFonts w:ascii="Calibri" w:eastAsia="Times New Roman" w:hAnsi="Calibri" w:cs="Calibri"/>
        </w:rPr>
      </w:pPr>
      <w:r w:rsidRPr="00A4648A">
        <w:rPr>
          <w:rFonts w:ascii="Calibri" w:eastAsia="Times New Roman" w:hAnsi="Calibri" w:cs="Calibri"/>
        </w:rPr>
        <w:t>Conclusion: taking into account that 94% of patients with random basal growth hormone &gt; 4 ng/ml have a peak &gt; 7 ng/ml, it is possible to assume a peak indicator result for such patients even without stimulation test. This can prevent psychological distress and financial cost to the child and family.</w:t>
      </w:r>
    </w:p>
    <w:p w:rsidR="00A4648A" w:rsidRPr="00A4648A" w:rsidRDefault="00A4648A" w:rsidP="00A4648A">
      <w:pPr>
        <w:spacing w:before="100" w:beforeAutospacing="1" w:after="100" w:afterAutospacing="1" w:line="240" w:lineRule="auto"/>
        <w:rPr>
          <w:rFonts w:ascii="Calibri" w:eastAsia="Times New Roman" w:hAnsi="Calibri" w:cs="Calibri"/>
        </w:rPr>
      </w:pPr>
    </w:p>
    <w:p w:rsidR="00C823F1" w:rsidRDefault="00A4648A">
      <w:bookmarkStart w:id="0" w:name="_GoBack"/>
      <w:bookmarkEnd w:id="0"/>
    </w:p>
    <w:sectPr w:rsidR="00C823F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48A"/>
    <w:rsid w:val="003575EC"/>
    <w:rsid w:val="00A365C3"/>
    <w:rsid w:val="00A46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DF182F-50C3-4373-8EB0-E7FDA1E01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813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10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0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459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749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367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2024-10-02T18:37:00Z</dcterms:created>
  <dcterms:modified xsi:type="dcterms:W3CDTF">2024-10-02T18:38:00Z</dcterms:modified>
</cp:coreProperties>
</file>